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黑体" w:hAnsi="宋体" w:eastAsia="黑体" w:cs="黑体"/>
          <w:b/>
          <w:bCs/>
          <w:i w:val="0"/>
          <w:iCs w:val="0"/>
          <w:caps w:val="0"/>
          <w:color w:val="085AA3"/>
          <w:spacing w:val="0"/>
          <w:sz w:val="30"/>
          <w:szCs w:val="30"/>
        </w:rPr>
      </w:pPr>
      <w:bookmarkStart w:id="0" w:name="_GoBack"/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85AA3"/>
          <w:spacing w:val="0"/>
          <w:sz w:val="30"/>
          <w:szCs w:val="30"/>
          <w:bdr w:val="none" w:color="auto" w:sz="0" w:space="0"/>
          <w:shd w:val="clear" w:fill="FFFFFF"/>
        </w:rPr>
        <w:t>计算机工程学院2023年硕士研究生招生考试复试成绩公示 （调剂第二批）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时间：2023年04月15日 14:35    来源：    作者：    阅读：581次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经计算机工程学院研究生招生工作领导小组审核通过，现将计算机工程学院2023年硕士研究生招生考试 调剂第二批复试成绩公示如下：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1232"/>
        <w:gridCol w:w="540"/>
        <w:gridCol w:w="1569"/>
        <w:gridCol w:w="758"/>
        <w:gridCol w:w="500"/>
        <w:gridCol w:w="860"/>
        <w:gridCol w:w="921"/>
        <w:gridCol w:w="1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报考专业（代码）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思想政治素质和品德考核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（总分500分）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（总分300分）/专业课笔试成绩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=（初试总成绩×0.6）/5 +(复试总成绩×0.4) /3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103573000017541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241.2/81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68.76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103573000017264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244.8/75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105113021218511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刘衡量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164.4/75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57.32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103003211103256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103193371721574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何超群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106983413314546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229.8/63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103003211103469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季泽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227.8/63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74.89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103003211107001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赵园龙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107013130404738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103003211103479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如对以上结果有异议的，请于2023年4月17日前向计算机工程学院招生工作监督小组反映，联系电话：0518-85895391。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江苏海洋大学计算机工程学院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            2023年4月15日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87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2023-05-12T08:47:33Z</dcterms:created>
  <dc:creator>Administrator</dc:creator>
  <cp:lastModifiedBy>王英</cp:lastModifiedBy>
  <dcterms:modified xsi:type="dcterms:W3CDTF">2023-05-12T08:47:41Z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93F5FBE9B7294C438C8A0D386FF9A93F</vt:lpwstr>
  </property>
</Properties>
</file>